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2D8B" w14:textId="77777777" w:rsidR="00953D45" w:rsidRDefault="00953D45" w:rsidP="00953D45">
      <w:pPr>
        <w:rPr>
          <w:b/>
          <w:bCs/>
        </w:rPr>
      </w:pPr>
      <w:r w:rsidRPr="000A0D98">
        <w:rPr>
          <w:b/>
          <w:bCs/>
        </w:rPr>
        <w:t xml:space="preserve">Red Flag Overview Topics </w:t>
      </w:r>
    </w:p>
    <w:p w14:paraId="30951340" w14:textId="77777777" w:rsidR="00953D45" w:rsidRPr="000A0D98" w:rsidRDefault="00953D45" w:rsidP="00953D45">
      <w:pPr>
        <w:rPr>
          <w:b/>
          <w:bCs/>
        </w:rPr>
      </w:pPr>
    </w:p>
    <w:p w14:paraId="62104B59" w14:textId="4FD7BBF2" w:rsidR="00953D45" w:rsidRDefault="00953D45" w:rsidP="00953D45">
      <w:pPr>
        <w:ind w:left="360"/>
      </w:pPr>
      <w:r>
        <w:t>Fraudulent buyers work really hard at being good and convincing of their job which is to acquire said vehicle(s). Suggestions beyond compliance requirements and basic good practice policies.</w:t>
      </w:r>
    </w:p>
    <w:p w14:paraId="225213E0" w14:textId="41D12D80" w:rsidR="00953D45" w:rsidRDefault="00953D45" w:rsidP="00953D45">
      <w:pPr>
        <w:ind w:left="360"/>
      </w:pPr>
    </w:p>
    <w:p w14:paraId="642306A1" w14:textId="77777777" w:rsidR="00953D45" w:rsidRDefault="00953D45" w:rsidP="00953D45">
      <w:pPr>
        <w:ind w:left="360"/>
      </w:pPr>
      <w:r>
        <w:t xml:space="preserve">Fraudulent signers usually are part of a larger network where they learn and teach. There are different levels of comfortability with experience or lack thereof. </w:t>
      </w:r>
    </w:p>
    <w:p w14:paraId="2EC24B52" w14:textId="77777777" w:rsidR="00953D45" w:rsidRDefault="00953D45" w:rsidP="00953D45"/>
    <w:p w14:paraId="10CB5906" w14:textId="6ED053CA" w:rsidR="00953D45" w:rsidRDefault="00953D45" w:rsidP="00953D45">
      <w:pPr>
        <w:ind w:left="360"/>
      </w:pPr>
      <w:r>
        <w:t>As one of these red flags alone may not warrant unraveling a deal but a few combined, can. It is extremely important to keep track of these to get a good indication of your customer.</w:t>
      </w:r>
    </w:p>
    <w:p w14:paraId="26279204" w14:textId="77777777" w:rsidR="00953D45" w:rsidRDefault="00953D45" w:rsidP="00953D45">
      <w:pPr>
        <w:ind w:left="360"/>
      </w:pPr>
    </w:p>
    <w:p w14:paraId="57196085" w14:textId="77777777" w:rsidR="00953D45" w:rsidRDefault="00953D45" w:rsidP="00953D45">
      <w:pPr>
        <w:ind w:left="360"/>
      </w:pPr>
      <w:r>
        <w:t xml:space="preserve">When customer info is being provided, ask yourself, what can be manufactured, how easily can this be manufactured? Photo IDs, personal information such as employment DOCS, Proof of Residency (POR), Proof of Insurance, etc. </w:t>
      </w:r>
    </w:p>
    <w:p w14:paraId="0398A995" w14:textId="77777777" w:rsidR="00953D45" w:rsidRDefault="00953D45" w:rsidP="00953D45">
      <w:pPr>
        <w:ind w:left="360"/>
      </w:pPr>
      <w:r>
        <w:t xml:space="preserve">  </w:t>
      </w:r>
    </w:p>
    <w:p w14:paraId="12AE75C0" w14:textId="77777777" w:rsidR="00953D45" w:rsidRDefault="00953D45" w:rsidP="00953D45">
      <w:pPr>
        <w:pStyle w:val="ListParagraph"/>
        <w:numPr>
          <w:ilvl w:val="0"/>
          <w:numId w:val="9"/>
        </w:numPr>
        <w:rPr>
          <w:rFonts w:ascii="Arial Unicode MS" w:eastAsia="Arial Unicode MS" w:hAnsi="Arial Unicode MS" w:cs="Arial Unicode MS"/>
          <w:b/>
        </w:rPr>
      </w:pPr>
      <w:r>
        <w:rPr>
          <w:rFonts w:ascii="Arial Unicode MS" w:eastAsia="Arial Unicode MS" w:hAnsi="Arial Unicode MS" w:cs="Arial Unicode MS"/>
          <w:b/>
        </w:rPr>
        <w:t>Identity Verification</w:t>
      </w:r>
    </w:p>
    <w:p w14:paraId="49E7F834" w14:textId="77777777" w:rsidR="00953D45" w:rsidRPr="00BA1761"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Stolen IDs</w:t>
      </w:r>
    </w:p>
    <w:p w14:paraId="6329B83B" w14:textId="77777777" w:rsidR="00953D45" w:rsidRPr="00BA1761"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Synthetic IDs</w:t>
      </w:r>
    </w:p>
    <w:p w14:paraId="528DAB5D" w14:textId="051DB4AE" w:rsidR="00953D45" w:rsidRPr="00C53BF8"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Hoodies, masks, glasses, extreme hairstyle changes</w:t>
      </w:r>
      <w:r w:rsidR="000E255A">
        <w:rPr>
          <w:rFonts w:ascii="Arial Unicode MS" w:eastAsia="Arial Unicode MS" w:hAnsi="Arial Unicode MS" w:cs="Arial Unicode MS"/>
          <w:bCs/>
        </w:rPr>
        <w:t>, look a likes</w:t>
      </w:r>
    </w:p>
    <w:p w14:paraId="05713D10" w14:textId="11C890B6" w:rsidR="00C53BF8" w:rsidRPr="00F1328F" w:rsidRDefault="00C53BF8" w:rsidP="00C53BF8">
      <w:pPr>
        <w:pStyle w:val="ListParagraph"/>
        <w:numPr>
          <w:ilvl w:val="1"/>
          <w:numId w:val="9"/>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4B31828A" w14:textId="0ACC1456" w:rsidR="00C53BF8" w:rsidRPr="00F1328F" w:rsidRDefault="00C53BF8" w:rsidP="00C53BF8">
      <w:pPr>
        <w:pStyle w:val="ListParagraph"/>
        <w:numPr>
          <w:ilvl w:val="2"/>
          <w:numId w:val="9"/>
        </w:numPr>
        <w:rPr>
          <w:rFonts w:ascii="Arial Unicode MS" w:eastAsia="Arial Unicode MS" w:hAnsi="Arial Unicode MS" w:cs="Arial Unicode MS"/>
          <w:bCs/>
          <w:color w:val="0070C0"/>
        </w:rPr>
      </w:pPr>
      <w:r w:rsidRPr="00F1328F">
        <w:rPr>
          <w:rFonts w:ascii="Arial Unicode MS" w:eastAsia="Arial Unicode MS" w:hAnsi="Arial Unicode MS" w:cs="Arial Unicode MS"/>
          <w:bCs/>
          <w:color w:val="0070C0"/>
        </w:rPr>
        <w:t xml:space="preserve">Utilize ID verification devices or platforms with documented customer consent and biometric facial </w:t>
      </w:r>
      <w:r w:rsidR="000E255A" w:rsidRPr="00F1328F">
        <w:rPr>
          <w:rFonts w:ascii="Arial Unicode MS" w:eastAsia="Arial Unicode MS" w:hAnsi="Arial Unicode MS" w:cs="Arial Unicode MS"/>
          <w:bCs/>
          <w:color w:val="0070C0"/>
        </w:rPr>
        <w:t>comparison</w:t>
      </w:r>
      <w:r w:rsidRPr="00F1328F">
        <w:rPr>
          <w:rFonts w:ascii="Arial Unicode MS" w:eastAsia="Arial Unicode MS" w:hAnsi="Arial Unicode MS" w:cs="Arial Unicode MS"/>
          <w:bCs/>
          <w:color w:val="0070C0"/>
        </w:rPr>
        <w:t>.</w:t>
      </w:r>
    </w:p>
    <w:p w14:paraId="6D9736C9" w14:textId="77777777" w:rsidR="00C53BF8" w:rsidRPr="00F1328F" w:rsidRDefault="00C53BF8" w:rsidP="00C53BF8">
      <w:pPr>
        <w:pStyle w:val="ListParagraph"/>
        <w:numPr>
          <w:ilvl w:val="2"/>
          <w:numId w:val="9"/>
        </w:numPr>
        <w:rPr>
          <w:rFonts w:ascii="Arial Unicode MS" w:eastAsia="Arial Unicode MS" w:hAnsi="Arial Unicode MS" w:cs="Arial Unicode MS"/>
          <w:bCs/>
          <w:color w:val="0070C0"/>
        </w:rPr>
      </w:pPr>
      <w:r w:rsidRPr="00F1328F">
        <w:rPr>
          <w:rFonts w:ascii="Arial Unicode MS" w:eastAsia="Arial Unicode MS" w:hAnsi="Arial Unicode MS" w:cs="Arial Unicode MS"/>
          <w:bCs/>
          <w:color w:val="0070C0"/>
        </w:rPr>
        <w:t>Request a photo of the customer with the ID.</w:t>
      </w:r>
    </w:p>
    <w:p w14:paraId="59D0523D" w14:textId="5FA919FA" w:rsidR="00C53BF8" w:rsidRPr="00F1328F" w:rsidRDefault="00C53BF8" w:rsidP="00C53BF8">
      <w:pPr>
        <w:pStyle w:val="ListParagraph"/>
        <w:numPr>
          <w:ilvl w:val="2"/>
          <w:numId w:val="9"/>
        </w:numPr>
        <w:rPr>
          <w:rFonts w:ascii="Arial Unicode MS" w:eastAsia="Arial Unicode MS" w:hAnsi="Arial Unicode MS" w:cs="Arial Unicode MS"/>
          <w:bCs/>
          <w:color w:val="0070C0"/>
        </w:rPr>
      </w:pPr>
      <w:r w:rsidRPr="00F1328F">
        <w:rPr>
          <w:rFonts w:ascii="Arial Unicode MS" w:eastAsia="Arial Unicode MS" w:hAnsi="Arial Unicode MS" w:cs="Arial Unicode MS"/>
          <w:bCs/>
          <w:color w:val="0070C0"/>
        </w:rPr>
        <w:t>Require a 2</w:t>
      </w:r>
      <w:r w:rsidRPr="00F1328F">
        <w:rPr>
          <w:rFonts w:ascii="Arial Unicode MS" w:eastAsia="Arial Unicode MS" w:hAnsi="Arial Unicode MS" w:cs="Arial Unicode MS"/>
          <w:bCs/>
          <w:color w:val="0070C0"/>
          <w:vertAlign w:val="superscript"/>
        </w:rPr>
        <w:t>nd</w:t>
      </w:r>
      <w:r w:rsidRPr="00F1328F">
        <w:rPr>
          <w:rFonts w:ascii="Arial Unicode MS" w:eastAsia="Arial Unicode MS" w:hAnsi="Arial Unicode MS" w:cs="Arial Unicode MS"/>
          <w:bCs/>
          <w:color w:val="0070C0"/>
        </w:rPr>
        <w:t xml:space="preserve"> or 3</w:t>
      </w:r>
      <w:r w:rsidRPr="00F1328F">
        <w:rPr>
          <w:rFonts w:ascii="Arial Unicode MS" w:eastAsia="Arial Unicode MS" w:hAnsi="Arial Unicode MS" w:cs="Arial Unicode MS"/>
          <w:bCs/>
          <w:color w:val="0070C0"/>
          <w:vertAlign w:val="superscript"/>
        </w:rPr>
        <w:t>rd</w:t>
      </w:r>
      <w:r w:rsidRPr="00F1328F">
        <w:rPr>
          <w:rFonts w:ascii="Arial Unicode MS" w:eastAsia="Arial Unicode MS" w:hAnsi="Arial Unicode MS" w:cs="Arial Unicode MS"/>
          <w:bCs/>
          <w:color w:val="0070C0"/>
        </w:rPr>
        <w:t xml:space="preserve"> form of ID with an “issued” name.</w:t>
      </w:r>
    </w:p>
    <w:p w14:paraId="1B388926" w14:textId="60DA61A2" w:rsidR="000E255A" w:rsidRPr="00F1328F" w:rsidRDefault="000E255A" w:rsidP="000E255A">
      <w:pPr>
        <w:pStyle w:val="ListParagraph"/>
        <w:numPr>
          <w:ilvl w:val="2"/>
          <w:numId w:val="9"/>
        </w:numPr>
        <w:rPr>
          <w:rFonts w:ascii="Arial Unicode MS" w:eastAsia="Arial Unicode MS" w:hAnsi="Arial Unicode MS" w:cs="Arial Unicode MS"/>
          <w:bCs/>
          <w:color w:val="0070C0"/>
        </w:rPr>
      </w:pPr>
      <w:r w:rsidRPr="00F1328F">
        <w:rPr>
          <w:rFonts w:ascii="Arial Unicode MS" w:eastAsia="Arial Unicode MS" w:hAnsi="Arial Unicode MS" w:cs="Arial Unicode MS"/>
          <w:bCs/>
          <w:color w:val="0070C0"/>
        </w:rPr>
        <w:t>Collect a thumbprint.</w:t>
      </w:r>
    </w:p>
    <w:p w14:paraId="3668461B" w14:textId="77777777" w:rsidR="00F1328F" w:rsidRDefault="00F1328F" w:rsidP="00F1328F">
      <w:pPr>
        <w:pStyle w:val="ListParagraph"/>
        <w:rPr>
          <w:rFonts w:ascii="Arial Unicode MS" w:eastAsia="Arial Unicode MS" w:hAnsi="Arial Unicode MS" w:cs="Arial Unicode MS"/>
          <w:b/>
        </w:rPr>
      </w:pPr>
    </w:p>
    <w:p w14:paraId="1FF3F943" w14:textId="3F157CFA" w:rsidR="00953D45" w:rsidRDefault="00953D45" w:rsidP="00953D45">
      <w:pPr>
        <w:pStyle w:val="ListParagraph"/>
        <w:numPr>
          <w:ilvl w:val="0"/>
          <w:numId w:val="9"/>
        </w:numPr>
        <w:rPr>
          <w:rFonts w:ascii="Arial Unicode MS" w:eastAsia="Arial Unicode MS" w:hAnsi="Arial Unicode MS" w:cs="Arial Unicode MS"/>
          <w:b/>
        </w:rPr>
      </w:pPr>
      <w:r>
        <w:rPr>
          <w:rFonts w:ascii="Arial Unicode MS" w:eastAsia="Arial Unicode MS" w:hAnsi="Arial Unicode MS" w:cs="Arial Unicode MS"/>
          <w:b/>
        </w:rPr>
        <w:t>Employment Verification</w:t>
      </w:r>
    </w:p>
    <w:p w14:paraId="6DAE3716" w14:textId="00679A64" w:rsidR="00953D45" w:rsidRPr="00051E36"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Research and call listed public number for business.</w:t>
      </w:r>
    </w:p>
    <w:p w14:paraId="468B72FF" w14:textId="77777777" w:rsidR="00051E36" w:rsidRPr="00F1328F" w:rsidRDefault="00051E36" w:rsidP="00051E36">
      <w:pPr>
        <w:pStyle w:val="ListParagraph"/>
        <w:numPr>
          <w:ilvl w:val="1"/>
          <w:numId w:val="9"/>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6A39375B" w14:textId="3369958C" w:rsidR="00051E36" w:rsidRPr="00F1328F" w:rsidRDefault="00051E36" w:rsidP="00051E36">
      <w:pPr>
        <w:numPr>
          <w:ilvl w:val="2"/>
          <w:numId w:val="9"/>
        </w:numPr>
        <w:rPr>
          <w:color w:val="0070C0"/>
        </w:rPr>
      </w:pPr>
      <w:r w:rsidRPr="00F1328F">
        <w:rPr>
          <w:color w:val="0070C0"/>
        </w:rPr>
        <w:t xml:space="preserve">Obtain a publicly listed phone number for the employer listed for the signer. Contact the appropriate representative and conduct the POE. </w:t>
      </w:r>
    </w:p>
    <w:p w14:paraId="607A9179" w14:textId="77777777" w:rsidR="00F1328F" w:rsidRDefault="00F1328F" w:rsidP="00F1328F">
      <w:pPr>
        <w:pStyle w:val="ListParagraph"/>
        <w:rPr>
          <w:rFonts w:ascii="Arial Unicode MS" w:eastAsia="Arial Unicode MS" w:hAnsi="Arial Unicode MS" w:cs="Arial Unicode MS"/>
          <w:b/>
        </w:rPr>
      </w:pPr>
    </w:p>
    <w:p w14:paraId="4F84263A" w14:textId="595657FE" w:rsidR="00953D45" w:rsidRDefault="00953D45" w:rsidP="00953D45">
      <w:pPr>
        <w:pStyle w:val="ListParagraph"/>
        <w:numPr>
          <w:ilvl w:val="0"/>
          <w:numId w:val="9"/>
        </w:numPr>
        <w:rPr>
          <w:rFonts w:ascii="Arial Unicode MS" w:eastAsia="Arial Unicode MS" w:hAnsi="Arial Unicode MS" w:cs="Arial Unicode MS"/>
          <w:b/>
        </w:rPr>
      </w:pPr>
      <w:r>
        <w:rPr>
          <w:rFonts w:ascii="Arial Unicode MS" w:eastAsia="Arial Unicode MS" w:hAnsi="Arial Unicode MS" w:cs="Arial Unicode MS"/>
          <w:b/>
        </w:rPr>
        <w:t>Residency Verification</w:t>
      </w:r>
    </w:p>
    <w:p w14:paraId="1BBB53D1" w14:textId="6F973763" w:rsidR="00953D45" w:rsidRPr="00AA2A8A"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Google search of home</w:t>
      </w:r>
    </w:p>
    <w:p w14:paraId="5C91BB19" w14:textId="77777777" w:rsidR="00AA2A8A" w:rsidRPr="00F1328F" w:rsidRDefault="00AA2A8A" w:rsidP="00AA2A8A">
      <w:pPr>
        <w:pStyle w:val="ListParagraph"/>
        <w:numPr>
          <w:ilvl w:val="1"/>
          <w:numId w:val="9"/>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702DB947" w14:textId="00B475B4" w:rsidR="00AA2A8A" w:rsidRPr="00F1328F" w:rsidRDefault="00AA2A8A" w:rsidP="00AA2A8A">
      <w:pPr>
        <w:pStyle w:val="ListParagraph"/>
        <w:numPr>
          <w:ilvl w:val="2"/>
          <w:numId w:val="9"/>
        </w:numPr>
        <w:rPr>
          <w:rFonts w:ascii="Arial Unicode MS" w:eastAsia="Arial Unicode MS" w:hAnsi="Arial Unicode MS" w:cs="Arial Unicode MS"/>
          <w:b/>
          <w:color w:val="0070C0"/>
        </w:rPr>
      </w:pPr>
      <w:r w:rsidRPr="00F1328F">
        <w:rPr>
          <w:rFonts w:ascii="Arial Unicode MS" w:eastAsia="Arial Unicode MS" w:hAnsi="Arial Unicode MS" w:cs="Arial Unicode MS"/>
          <w:bCs/>
          <w:color w:val="0070C0"/>
        </w:rPr>
        <w:t>Google search photo of home, resent sale of the home, ask questions about living in the home/area.</w:t>
      </w:r>
      <w:r w:rsidR="00F1328F">
        <w:rPr>
          <w:rFonts w:ascii="Arial Unicode MS" w:eastAsia="Arial Unicode MS" w:hAnsi="Arial Unicode MS" w:cs="Arial Unicode MS"/>
          <w:bCs/>
          <w:color w:val="0070C0"/>
        </w:rPr>
        <w:t xml:space="preserve"> Require a 2</w:t>
      </w:r>
      <w:r w:rsidR="00F1328F" w:rsidRPr="00F1328F">
        <w:rPr>
          <w:rFonts w:ascii="Arial Unicode MS" w:eastAsia="Arial Unicode MS" w:hAnsi="Arial Unicode MS" w:cs="Arial Unicode MS"/>
          <w:bCs/>
          <w:color w:val="0070C0"/>
          <w:vertAlign w:val="superscript"/>
        </w:rPr>
        <w:t>nd</w:t>
      </w:r>
      <w:r w:rsidR="00F1328F">
        <w:rPr>
          <w:rFonts w:ascii="Arial Unicode MS" w:eastAsia="Arial Unicode MS" w:hAnsi="Arial Unicode MS" w:cs="Arial Unicode MS"/>
          <w:bCs/>
          <w:color w:val="0070C0"/>
        </w:rPr>
        <w:t xml:space="preserve"> or 3</w:t>
      </w:r>
      <w:r w:rsidR="00F1328F" w:rsidRPr="00F1328F">
        <w:rPr>
          <w:rFonts w:ascii="Arial Unicode MS" w:eastAsia="Arial Unicode MS" w:hAnsi="Arial Unicode MS" w:cs="Arial Unicode MS"/>
          <w:bCs/>
          <w:color w:val="0070C0"/>
          <w:vertAlign w:val="superscript"/>
        </w:rPr>
        <w:t>rd</w:t>
      </w:r>
      <w:r w:rsidR="00F1328F">
        <w:rPr>
          <w:rFonts w:ascii="Arial Unicode MS" w:eastAsia="Arial Unicode MS" w:hAnsi="Arial Unicode MS" w:cs="Arial Unicode MS"/>
          <w:bCs/>
          <w:color w:val="0070C0"/>
        </w:rPr>
        <w:t xml:space="preserve"> form of ID.</w:t>
      </w:r>
    </w:p>
    <w:p w14:paraId="0E2B59DF" w14:textId="77777777" w:rsidR="00D17EA8" w:rsidRDefault="00D17EA8" w:rsidP="00D17EA8">
      <w:pPr>
        <w:pStyle w:val="ListParagraph"/>
        <w:rPr>
          <w:rFonts w:ascii="Arial Unicode MS" w:eastAsia="Arial Unicode MS" w:hAnsi="Arial Unicode MS" w:cs="Arial Unicode MS"/>
          <w:b/>
        </w:rPr>
      </w:pPr>
    </w:p>
    <w:p w14:paraId="04B44041" w14:textId="46142710" w:rsidR="00953D45" w:rsidRDefault="00953D45" w:rsidP="00953D45">
      <w:pPr>
        <w:pStyle w:val="ListParagraph"/>
        <w:numPr>
          <w:ilvl w:val="0"/>
          <w:numId w:val="9"/>
        </w:numPr>
        <w:rPr>
          <w:rFonts w:ascii="Arial Unicode MS" w:eastAsia="Arial Unicode MS" w:hAnsi="Arial Unicode MS" w:cs="Arial Unicode MS"/>
          <w:b/>
        </w:rPr>
      </w:pPr>
      <w:r>
        <w:rPr>
          <w:rFonts w:ascii="Arial Unicode MS" w:eastAsia="Arial Unicode MS" w:hAnsi="Arial Unicode MS" w:cs="Arial Unicode MS"/>
          <w:b/>
        </w:rPr>
        <w:t xml:space="preserve">Credit Report </w:t>
      </w:r>
    </w:p>
    <w:p w14:paraId="1211B271" w14:textId="77777777" w:rsidR="00953D45" w:rsidRPr="00BA1761"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Multiple Social Security Numbers</w:t>
      </w:r>
    </w:p>
    <w:p w14:paraId="4BF74EB3" w14:textId="77777777" w:rsidR="00953D45" w:rsidRDefault="00953D45" w:rsidP="00953D45">
      <w:pPr>
        <w:pStyle w:val="ListParagraph"/>
        <w:numPr>
          <w:ilvl w:val="1"/>
          <w:numId w:val="9"/>
        </w:numPr>
        <w:rPr>
          <w:rFonts w:ascii="Arial Unicode MS" w:eastAsia="Arial Unicode MS" w:hAnsi="Arial Unicode MS" w:cs="Arial Unicode MS"/>
          <w:b/>
        </w:rPr>
      </w:pPr>
      <w:r>
        <w:rPr>
          <w:rFonts w:ascii="Arial Unicode MS" w:eastAsia="Arial Unicode MS" w:hAnsi="Arial Unicode MS" w:cs="Arial Unicode MS"/>
          <w:bCs/>
        </w:rPr>
        <w:t>Short Credit History</w:t>
      </w:r>
    </w:p>
    <w:p w14:paraId="0624CB5C" w14:textId="4F25E98E" w:rsidR="00AA2A8A" w:rsidRPr="00F1328F" w:rsidRDefault="00AA2A8A" w:rsidP="00AA2A8A">
      <w:pPr>
        <w:pStyle w:val="ListParagraph"/>
        <w:numPr>
          <w:ilvl w:val="1"/>
          <w:numId w:val="9"/>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253841B9" w14:textId="15AE6E57" w:rsidR="00AA2A8A" w:rsidRPr="00F1328F" w:rsidRDefault="000E255A" w:rsidP="00AA2A8A">
      <w:pPr>
        <w:pStyle w:val="ListParagraph"/>
        <w:numPr>
          <w:ilvl w:val="2"/>
          <w:numId w:val="9"/>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color w:val="0070C0"/>
        </w:rPr>
        <w:t>Look for: unusual credit activity, multiple social security numbers and/or names, address discrepancies, security freezes.</w:t>
      </w:r>
    </w:p>
    <w:p w14:paraId="718EF408" w14:textId="77777777" w:rsidR="00F1328F" w:rsidRPr="00F1328F" w:rsidRDefault="00F1328F" w:rsidP="00F1328F">
      <w:pPr>
        <w:pStyle w:val="ListParagraph"/>
        <w:rPr>
          <w:b/>
        </w:rPr>
      </w:pPr>
    </w:p>
    <w:p w14:paraId="48324CB3" w14:textId="26143DAE" w:rsidR="00953D45" w:rsidRPr="00DD354E" w:rsidRDefault="00953D45" w:rsidP="00953D45">
      <w:pPr>
        <w:pStyle w:val="ListParagraph"/>
        <w:numPr>
          <w:ilvl w:val="0"/>
          <w:numId w:val="8"/>
        </w:numPr>
        <w:rPr>
          <w:b/>
        </w:rPr>
      </w:pPr>
      <w:r>
        <w:rPr>
          <w:rFonts w:ascii="Arial Unicode MS" w:eastAsia="Arial Unicode MS" w:hAnsi="Arial Unicode MS" w:cs="Arial Unicode MS"/>
          <w:b/>
        </w:rPr>
        <w:t xml:space="preserve">Offsite </w:t>
      </w:r>
      <w:r w:rsidRPr="000A0D98">
        <w:rPr>
          <w:rFonts w:ascii="Arial Unicode MS" w:eastAsia="Arial Unicode MS" w:hAnsi="Arial Unicode MS" w:cs="Arial Unicode MS"/>
          <w:b/>
        </w:rPr>
        <w:t>document signin</w:t>
      </w:r>
      <w:r>
        <w:rPr>
          <w:rFonts w:ascii="Arial Unicode MS" w:eastAsia="Arial Unicode MS" w:hAnsi="Arial Unicode MS" w:cs="Arial Unicode MS"/>
          <w:b/>
        </w:rPr>
        <w:t>g</w:t>
      </w:r>
    </w:p>
    <w:p w14:paraId="4CB5481E" w14:textId="77777777" w:rsidR="00953D45" w:rsidRPr="00DD354E" w:rsidRDefault="00953D45" w:rsidP="00953D45">
      <w:pPr>
        <w:pStyle w:val="ListParagraph"/>
        <w:numPr>
          <w:ilvl w:val="1"/>
          <w:numId w:val="8"/>
        </w:numPr>
        <w:rPr>
          <w:b/>
        </w:rPr>
      </w:pPr>
      <w:r>
        <w:rPr>
          <w:rFonts w:ascii="Arial Unicode MS" w:eastAsia="Arial Unicode MS" w:hAnsi="Arial Unicode MS" w:cs="Arial Unicode MS"/>
          <w:bCs/>
          <w:i/>
          <w:iCs/>
        </w:rPr>
        <w:t>Location changes are t</w:t>
      </w:r>
      <w:r w:rsidRPr="00DD354E">
        <w:rPr>
          <w:rFonts w:ascii="Arial Unicode MS" w:eastAsia="Arial Unicode MS" w:hAnsi="Arial Unicode MS" w:cs="Arial Unicode MS"/>
          <w:bCs/>
          <w:i/>
          <w:iCs/>
        </w:rPr>
        <w:t xml:space="preserve">he most common red flag when using a </w:t>
      </w:r>
      <w:proofErr w:type="gramStart"/>
      <w:r w:rsidRPr="00DD354E">
        <w:rPr>
          <w:rFonts w:ascii="Arial Unicode MS" w:eastAsia="Arial Unicode MS" w:hAnsi="Arial Unicode MS" w:cs="Arial Unicode MS"/>
          <w:bCs/>
          <w:i/>
          <w:iCs/>
        </w:rPr>
        <w:t>third party</w:t>
      </w:r>
      <w:proofErr w:type="gramEnd"/>
      <w:r w:rsidRPr="00DD354E">
        <w:rPr>
          <w:rFonts w:ascii="Arial Unicode MS" w:eastAsia="Arial Unicode MS" w:hAnsi="Arial Unicode MS" w:cs="Arial Unicode MS"/>
          <w:bCs/>
          <w:i/>
          <w:iCs/>
        </w:rPr>
        <w:t xml:space="preserve"> notary! </w:t>
      </w:r>
    </w:p>
    <w:p w14:paraId="619C7F9D" w14:textId="77777777" w:rsidR="00953D45" w:rsidRDefault="00953D45" w:rsidP="00953D45">
      <w:pPr>
        <w:pStyle w:val="ListParagraph"/>
        <w:numPr>
          <w:ilvl w:val="2"/>
          <w:numId w:val="8"/>
        </w:numPr>
      </w:pPr>
      <w:r>
        <w:t xml:space="preserve">Disconnects a signer from a huge personal confirmation point, which is their residence. </w:t>
      </w:r>
    </w:p>
    <w:p w14:paraId="4BD88646" w14:textId="04DF1215" w:rsidR="00953D45" w:rsidRDefault="00953D45" w:rsidP="00953D45">
      <w:pPr>
        <w:pStyle w:val="ListParagraph"/>
        <w:numPr>
          <w:ilvl w:val="1"/>
          <w:numId w:val="8"/>
        </w:numPr>
      </w:pPr>
      <w:r>
        <w:t>Requesting specifically named notaries for the signing.</w:t>
      </w:r>
    </w:p>
    <w:p w14:paraId="14A6F3BD" w14:textId="4E077132" w:rsidR="00C53BF8" w:rsidRPr="000E255A" w:rsidRDefault="00C53BF8" w:rsidP="00C53BF8">
      <w:pPr>
        <w:pStyle w:val="ListParagraph"/>
        <w:numPr>
          <w:ilvl w:val="1"/>
          <w:numId w:val="8"/>
        </w:numPr>
        <w:rPr>
          <w:bCs/>
        </w:rPr>
      </w:pPr>
      <w:bookmarkStart w:id="0" w:name="_Hlk129811890"/>
      <w:r w:rsidRPr="00C53BF8">
        <w:rPr>
          <w:rFonts w:ascii="Arial Unicode MS" w:eastAsia="Arial Unicode MS" w:hAnsi="Arial Unicode MS" w:cs="Arial Unicode MS"/>
          <w:bCs/>
        </w:rPr>
        <w:t>Out of State IDs</w:t>
      </w:r>
      <w:r>
        <w:rPr>
          <w:rFonts w:ascii="Arial Unicode MS" w:eastAsia="Arial Unicode MS" w:hAnsi="Arial Unicode MS" w:cs="Arial Unicode MS"/>
          <w:bCs/>
        </w:rPr>
        <w:t xml:space="preserve"> and Power of Attorneys</w:t>
      </w:r>
    </w:p>
    <w:p w14:paraId="46109137" w14:textId="77777777" w:rsidR="000E255A" w:rsidRPr="00F1328F" w:rsidRDefault="000E255A" w:rsidP="000E255A">
      <w:pPr>
        <w:pStyle w:val="ListParagraph"/>
        <w:numPr>
          <w:ilvl w:val="1"/>
          <w:numId w:val="8"/>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68736708" w14:textId="324C508F" w:rsidR="000E255A" w:rsidRPr="00F1328F" w:rsidRDefault="000E255A" w:rsidP="000E255A">
      <w:pPr>
        <w:pStyle w:val="ListParagraph"/>
        <w:numPr>
          <w:ilvl w:val="2"/>
          <w:numId w:val="8"/>
        </w:numPr>
        <w:rPr>
          <w:bCs/>
          <w:color w:val="0070C0"/>
        </w:rPr>
      </w:pPr>
      <w:r w:rsidRPr="00F1328F">
        <w:rPr>
          <w:bCs/>
          <w:color w:val="0070C0"/>
        </w:rPr>
        <w:t>Set up signing in the customer’s home.</w:t>
      </w:r>
    </w:p>
    <w:p w14:paraId="4B206E8C" w14:textId="1A06AD29" w:rsidR="000E255A" w:rsidRPr="00F1328F" w:rsidRDefault="000E255A" w:rsidP="00051E36">
      <w:pPr>
        <w:pStyle w:val="ListParagraph"/>
        <w:numPr>
          <w:ilvl w:val="2"/>
          <w:numId w:val="8"/>
        </w:numPr>
        <w:rPr>
          <w:bCs/>
          <w:color w:val="0070C0"/>
        </w:rPr>
      </w:pPr>
      <w:r w:rsidRPr="00F1328F">
        <w:rPr>
          <w:bCs/>
          <w:color w:val="0070C0"/>
        </w:rPr>
        <w:t>Do not accept location changes for the signing.</w:t>
      </w:r>
    </w:p>
    <w:p w14:paraId="0D2DC860" w14:textId="6A495956" w:rsidR="00051E36" w:rsidRPr="00F1328F" w:rsidRDefault="00051E36" w:rsidP="00051E36">
      <w:pPr>
        <w:pStyle w:val="ListParagraph"/>
        <w:numPr>
          <w:ilvl w:val="2"/>
          <w:numId w:val="8"/>
        </w:numPr>
        <w:rPr>
          <w:bCs/>
          <w:color w:val="0070C0"/>
        </w:rPr>
      </w:pPr>
      <w:r w:rsidRPr="00F1328F">
        <w:rPr>
          <w:bCs/>
          <w:color w:val="0070C0"/>
        </w:rPr>
        <w:t>Notary should request 2</w:t>
      </w:r>
      <w:r w:rsidRPr="00F1328F">
        <w:rPr>
          <w:bCs/>
          <w:color w:val="0070C0"/>
          <w:vertAlign w:val="superscript"/>
        </w:rPr>
        <w:t>nd</w:t>
      </w:r>
      <w:r w:rsidRPr="00F1328F">
        <w:rPr>
          <w:bCs/>
          <w:color w:val="0070C0"/>
        </w:rPr>
        <w:t xml:space="preserve"> form of ID and proof of residency.</w:t>
      </w:r>
    </w:p>
    <w:p w14:paraId="1AF5390C" w14:textId="7DDFF225" w:rsidR="00051E36" w:rsidRPr="00F1328F" w:rsidRDefault="00051E36" w:rsidP="00051E36">
      <w:pPr>
        <w:pStyle w:val="ListParagraph"/>
        <w:numPr>
          <w:ilvl w:val="2"/>
          <w:numId w:val="8"/>
        </w:numPr>
        <w:rPr>
          <w:bCs/>
          <w:color w:val="0070C0"/>
        </w:rPr>
      </w:pPr>
      <w:r w:rsidRPr="00F1328F">
        <w:rPr>
          <w:bCs/>
          <w:color w:val="0070C0"/>
        </w:rPr>
        <w:t>POA-confirm identity of person</w:t>
      </w:r>
    </w:p>
    <w:bookmarkEnd w:id="0"/>
    <w:p w14:paraId="1398D577" w14:textId="30A2A2B9" w:rsidR="00953D45" w:rsidRPr="00712528" w:rsidRDefault="00953D45" w:rsidP="00712528">
      <w:pPr>
        <w:pStyle w:val="ListParagraph"/>
        <w:ind w:left="1440"/>
      </w:pPr>
    </w:p>
    <w:p w14:paraId="69420461" w14:textId="77777777" w:rsidR="00953D45" w:rsidRDefault="00953D45" w:rsidP="00953D45">
      <w:pPr>
        <w:pStyle w:val="ListParagraph"/>
        <w:numPr>
          <w:ilvl w:val="0"/>
          <w:numId w:val="8"/>
        </w:numPr>
        <w:rPr>
          <w:b/>
        </w:rPr>
      </w:pPr>
      <w:r>
        <w:rPr>
          <w:rFonts w:ascii="Arial Unicode MS" w:eastAsia="Arial Unicode MS" w:hAnsi="Arial Unicode MS" w:cs="Arial Unicode MS"/>
          <w:b/>
        </w:rPr>
        <w:t xml:space="preserve">Confirming Personal Information </w:t>
      </w:r>
    </w:p>
    <w:p w14:paraId="108EF34B" w14:textId="77777777" w:rsidR="00051E36" w:rsidRDefault="00051E36" w:rsidP="00051E36">
      <w:pPr>
        <w:pStyle w:val="ListParagraph"/>
        <w:numPr>
          <w:ilvl w:val="1"/>
          <w:numId w:val="8"/>
        </w:numPr>
      </w:pPr>
      <w:r>
        <w:t>Delay in providing necessary and personal information.</w:t>
      </w:r>
    </w:p>
    <w:p w14:paraId="06742E14" w14:textId="53C4FD8A" w:rsidR="00051E36" w:rsidRDefault="00051E36" w:rsidP="00051E36">
      <w:pPr>
        <w:pStyle w:val="ListParagraph"/>
        <w:numPr>
          <w:ilvl w:val="1"/>
          <w:numId w:val="8"/>
        </w:numPr>
      </w:pPr>
      <w:r>
        <w:t>Avoids direct communication.</w:t>
      </w:r>
    </w:p>
    <w:p w14:paraId="473F81E8" w14:textId="1841CF98" w:rsidR="006D5AB8" w:rsidRDefault="006D5AB8" w:rsidP="00051E36">
      <w:pPr>
        <w:pStyle w:val="ListParagraph"/>
        <w:numPr>
          <w:ilvl w:val="1"/>
          <w:numId w:val="8"/>
        </w:numPr>
      </w:pPr>
      <w:r>
        <w:t>Use of oversimplified email addresses or using different phone numbers.</w:t>
      </w:r>
    </w:p>
    <w:p w14:paraId="321874A8" w14:textId="77777777" w:rsidR="00051E36" w:rsidRPr="00F1328F" w:rsidRDefault="00051E36" w:rsidP="00051E36">
      <w:pPr>
        <w:pStyle w:val="ListParagraph"/>
        <w:numPr>
          <w:ilvl w:val="1"/>
          <w:numId w:val="8"/>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4797C503" w14:textId="77777777" w:rsidR="006D5AB8" w:rsidRPr="00F1328F" w:rsidRDefault="00051E36" w:rsidP="006D5AB8">
      <w:pPr>
        <w:pStyle w:val="ListParagraph"/>
        <w:numPr>
          <w:ilvl w:val="2"/>
          <w:numId w:val="8"/>
        </w:numPr>
        <w:rPr>
          <w:color w:val="0070C0"/>
        </w:rPr>
      </w:pPr>
      <w:r w:rsidRPr="00F1328F">
        <w:rPr>
          <w:color w:val="0070C0"/>
        </w:rPr>
        <w:t>TALK to the signer</w:t>
      </w:r>
      <w:r w:rsidR="006D5AB8" w:rsidRPr="00F1328F">
        <w:rPr>
          <w:color w:val="0070C0"/>
        </w:rPr>
        <w:t>!</w:t>
      </w:r>
    </w:p>
    <w:p w14:paraId="48ED2B14" w14:textId="7DC3B8D6" w:rsidR="006D5AB8" w:rsidRPr="00F1328F" w:rsidRDefault="006D5AB8" w:rsidP="006D5AB8">
      <w:pPr>
        <w:pStyle w:val="ListParagraph"/>
        <w:numPr>
          <w:ilvl w:val="3"/>
          <w:numId w:val="8"/>
        </w:numPr>
        <w:rPr>
          <w:color w:val="0070C0"/>
        </w:rPr>
      </w:pPr>
      <w:r w:rsidRPr="00F1328F">
        <w:rPr>
          <w:color w:val="0070C0"/>
        </w:rPr>
        <w:t xml:space="preserve">Live video or </w:t>
      </w:r>
      <w:r w:rsidRPr="00F1328F">
        <w:rPr>
          <w:color w:val="0070C0"/>
        </w:rPr>
        <w:t>mini phone interview</w:t>
      </w:r>
      <w:r w:rsidRPr="00F1328F">
        <w:rPr>
          <w:color w:val="0070C0"/>
        </w:rPr>
        <w:t>:</w:t>
      </w:r>
      <w:r w:rsidRPr="00F1328F">
        <w:rPr>
          <w:color w:val="0070C0"/>
        </w:rPr>
        <w:t xml:space="preserve"> </w:t>
      </w:r>
      <w:r w:rsidRPr="00F1328F">
        <w:rPr>
          <w:color w:val="0070C0"/>
        </w:rPr>
        <w:t>Ask</w:t>
      </w:r>
      <w:r w:rsidRPr="00F1328F">
        <w:rPr>
          <w:color w:val="0070C0"/>
        </w:rPr>
        <w:t xml:space="preserve"> 3-5 personal, “on the spot” questions relative to the credit history of the signer. The requirement is the customer should be able to answer these at that time.</w:t>
      </w:r>
    </w:p>
    <w:p w14:paraId="2C40FA09" w14:textId="77777777" w:rsidR="006D5AB8" w:rsidRPr="00F1328F" w:rsidRDefault="006D5AB8" w:rsidP="006D5AB8">
      <w:pPr>
        <w:pStyle w:val="ListParagraph"/>
        <w:numPr>
          <w:ilvl w:val="3"/>
          <w:numId w:val="8"/>
        </w:numPr>
        <w:rPr>
          <w:color w:val="0070C0"/>
        </w:rPr>
      </w:pPr>
      <w:r w:rsidRPr="00F1328F">
        <w:rPr>
          <w:color w:val="0070C0"/>
        </w:rPr>
        <w:t>Observe requests to avoid one-on-one conversations or diversions to third parties.</w:t>
      </w:r>
    </w:p>
    <w:p w14:paraId="371EA4EE" w14:textId="3B5A89D9" w:rsidR="00051E36" w:rsidRPr="00F1328F" w:rsidRDefault="006D5AB8" w:rsidP="006D5AB8">
      <w:pPr>
        <w:pStyle w:val="ListParagraph"/>
        <w:numPr>
          <w:ilvl w:val="3"/>
          <w:numId w:val="8"/>
        </w:numPr>
        <w:rPr>
          <w:color w:val="0070C0"/>
        </w:rPr>
      </w:pPr>
      <w:r w:rsidRPr="00F1328F">
        <w:rPr>
          <w:color w:val="0070C0"/>
        </w:rPr>
        <w:t xml:space="preserve"> </w:t>
      </w:r>
      <w:r w:rsidR="00F1328F">
        <w:rPr>
          <w:color w:val="0070C0"/>
        </w:rPr>
        <w:t xml:space="preserve">Be aware of different phone numbers </w:t>
      </w:r>
      <w:r w:rsidRPr="00F1328F">
        <w:rPr>
          <w:color w:val="0070C0"/>
        </w:rPr>
        <w:t>or overly simplified email addresses.</w:t>
      </w:r>
    </w:p>
    <w:p w14:paraId="4800E7E8" w14:textId="77777777" w:rsidR="00F1328F" w:rsidRPr="00F1328F" w:rsidRDefault="00F1328F" w:rsidP="00F1328F">
      <w:pPr>
        <w:pStyle w:val="ListParagraph"/>
        <w:rPr>
          <w:b/>
        </w:rPr>
      </w:pPr>
    </w:p>
    <w:p w14:paraId="6515EE10" w14:textId="1434C89D" w:rsidR="00953D45" w:rsidRPr="00E35538" w:rsidRDefault="00953D45" w:rsidP="00953D45">
      <w:pPr>
        <w:pStyle w:val="ListParagraph"/>
        <w:numPr>
          <w:ilvl w:val="0"/>
          <w:numId w:val="8"/>
        </w:numPr>
        <w:rPr>
          <w:b/>
        </w:rPr>
      </w:pPr>
      <w:r w:rsidRPr="00E35538">
        <w:rPr>
          <w:rFonts w:ascii="Arial Unicode MS" w:eastAsia="Arial Unicode MS" w:hAnsi="Arial Unicode MS" w:cs="Arial Unicode MS"/>
          <w:b/>
        </w:rPr>
        <w:t xml:space="preserve">Behavioral Red Flags </w:t>
      </w:r>
    </w:p>
    <w:p w14:paraId="155ABC53" w14:textId="5745A629" w:rsidR="00953D45" w:rsidRDefault="00953D45" w:rsidP="00953D45">
      <w:pPr>
        <w:pStyle w:val="ListParagraph"/>
        <w:numPr>
          <w:ilvl w:val="1"/>
          <w:numId w:val="8"/>
        </w:numPr>
      </w:pPr>
      <w:r>
        <w:t xml:space="preserve">Rude or have pushy behavior </w:t>
      </w:r>
    </w:p>
    <w:p w14:paraId="54F76DD4" w14:textId="77777777" w:rsidR="00953D45" w:rsidRDefault="00953D45" w:rsidP="00953D45">
      <w:pPr>
        <w:pStyle w:val="ListParagraph"/>
        <w:numPr>
          <w:ilvl w:val="1"/>
          <w:numId w:val="10"/>
        </w:numPr>
      </w:pPr>
      <w:r>
        <w:t xml:space="preserve">Over sharers </w:t>
      </w:r>
    </w:p>
    <w:p w14:paraId="333D4844" w14:textId="7A538203" w:rsidR="00953D45" w:rsidRDefault="00677E52" w:rsidP="00953D45">
      <w:pPr>
        <w:pStyle w:val="ListParagraph"/>
        <w:numPr>
          <w:ilvl w:val="1"/>
          <w:numId w:val="10"/>
        </w:numPr>
      </w:pPr>
      <w:r>
        <w:t>“</w:t>
      </w:r>
      <w:r w:rsidR="00953D45">
        <w:t>Trainer</w:t>
      </w:r>
      <w:r>
        <w:t>”</w:t>
      </w:r>
      <w:r w:rsidR="00953D45">
        <w:t xml:space="preserve"> </w:t>
      </w:r>
    </w:p>
    <w:p w14:paraId="0183522B" w14:textId="03F5D7EE" w:rsidR="00677E52" w:rsidRPr="00F1328F" w:rsidRDefault="00677E52" w:rsidP="00677E52">
      <w:pPr>
        <w:pStyle w:val="ListParagraph"/>
        <w:numPr>
          <w:ilvl w:val="1"/>
          <w:numId w:val="10"/>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560087F8" w14:textId="7579C9F1" w:rsidR="00F1328F" w:rsidRPr="00F1328F" w:rsidRDefault="00F1328F" w:rsidP="00677E52">
      <w:pPr>
        <w:pStyle w:val="ListParagraph"/>
        <w:numPr>
          <w:ilvl w:val="2"/>
          <w:numId w:val="10"/>
        </w:numPr>
        <w:rPr>
          <w:rFonts w:ascii="Arial Unicode MS" w:eastAsia="Arial Unicode MS" w:hAnsi="Arial Unicode MS" w:cs="Arial Unicode MS"/>
          <w:bCs/>
          <w:i/>
          <w:iCs/>
          <w:color w:val="0070C0"/>
        </w:rPr>
      </w:pPr>
      <w:r>
        <w:rPr>
          <w:color w:val="0070C0"/>
        </w:rPr>
        <w:t>Watch for</w:t>
      </w:r>
      <w:r w:rsidR="00677E52" w:rsidRPr="00F1328F">
        <w:rPr>
          <w:color w:val="0070C0"/>
        </w:rPr>
        <w:t xml:space="preserve">: </w:t>
      </w:r>
      <w:r w:rsidR="00677E52" w:rsidRPr="00F1328F">
        <w:rPr>
          <w:color w:val="0070C0"/>
        </w:rPr>
        <w:t xml:space="preserve">Fraudulent signers can often be rude or have pushy behavior that can keep them from having to engage. At times they will also act erratically and lie. They will </w:t>
      </w:r>
      <w:r w:rsidR="00677E52" w:rsidRPr="00F1328F">
        <w:rPr>
          <w:color w:val="0070C0"/>
        </w:rPr>
        <w:lastRenderedPageBreak/>
        <w:t xml:space="preserve">behaviorally posture themselves as bigger, to intimidate their way through any sort of questioning or doubt. Squeakiest wheel gets the most grease, in this case they tend to receive more accommodations and acceptance. </w:t>
      </w:r>
    </w:p>
    <w:p w14:paraId="15ADCDED" w14:textId="77777777" w:rsidR="00F1328F" w:rsidRDefault="00F1328F" w:rsidP="00F1328F">
      <w:pPr>
        <w:pStyle w:val="ListParagraph"/>
        <w:ind w:left="2160"/>
        <w:rPr>
          <w:color w:val="0070C0"/>
        </w:rPr>
      </w:pPr>
    </w:p>
    <w:p w14:paraId="6D1E4362" w14:textId="77777777" w:rsidR="00F1328F" w:rsidRDefault="00677E52" w:rsidP="00F1328F">
      <w:pPr>
        <w:pStyle w:val="ListParagraph"/>
        <w:ind w:left="2160"/>
        <w:rPr>
          <w:color w:val="0070C0"/>
        </w:rPr>
      </w:pPr>
      <w:r w:rsidRPr="00F1328F">
        <w:rPr>
          <w:color w:val="0070C0"/>
        </w:rPr>
        <w:t xml:space="preserve">Others will paint a much more elaborate picture and really sell who they are. They can be </w:t>
      </w:r>
      <w:r w:rsidR="00D17EA8" w:rsidRPr="00F1328F">
        <w:rPr>
          <w:color w:val="0070C0"/>
        </w:rPr>
        <w:t>over sharers</w:t>
      </w:r>
      <w:r w:rsidRPr="00F1328F">
        <w:rPr>
          <w:color w:val="0070C0"/>
        </w:rPr>
        <w:t xml:space="preserve">. </w:t>
      </w:r>
    </w:p>
    <w:p w14:paraId="0D2F4F79" w14:textId="77777777" w:rsidR="00F1328F" w:rsidRDefault="00F1328F" w:rsidP="00F1328F">
      <w:pPr>
        <w:pStyle w:val="ListParagraph"/>
        <w:ind w:left="2160"/>
        <w:rPr>
          <w:color w:val="0070C0"/>
        </w:rPr>
      </w:pPr>
    </w:p>
    <w:p w14:paraId="27F873E8" w14:textId="3D0BEA7B" w:rsidR="00677E52" w:rsidRPr="00F1328F" w:rsidRDefault="00677E52" w:rsidP="00F1328F">
      <w:pPr>
        <w:pStyle w:val="ListParagraph"/>
        <w:ind w:left="2160"/>
        <w:rPr>
          <w:rFonts w:ascii="Arial Unicode MS" w:eastAsia="Arial Unicode MS" w:hAnsi="Arial Unicode MS" w:cs="Arial Unicode MS"/>
          <w:bCs/>
          <w:i/>
          <w:iCs/>
          <w:color w:val="0070C0"/>
        </w:rPr>
      </w:pPr>
      <w:r w:rsidRPr="00F1328F">
        <w:rPr>
          <w:color w:val="0070C0"/>
        </w:rPr>
        <w:t>Others may seem lost in the process and introduce someone else posed as a friend, family member or co-worker to assist them. In these situations, they are often new to this type of fraud and need assistance, they are essentially being taught how to commit fraud and use your deal and dealership to do so. These “trainers” may also be present at the signing.</w:t>
      </w:r>
    </w:p>
    <w:p w14:paraId="48F03609" w14:textId="77777777" w:rsidR="00F1328F" w:rsidRPr="00F1328F" w:rsidRDefault="00F1328F" w:rsidP="00F1328F">
      <w:pPr>
        <w:pStyle w:val="ListParagraph"/>
      </w:pPr>
    </w:p>
    <w:p w14:paraId="510A21E8" w14:textId="60D7915B" w:rsidR="00953D45" w:rsidRPr="00E35538" w:rsidRDefault="00953D45" w:rsidP="00953D45">
      <w:pPr>
        <w:pStyle w:val="ListParagraph"/>
        <w:numPr>
          <w:ilvl w:val="0"/>
          <w:numId w:val="10"/>
        </w:numPr>
      </w:pPr>
      <w:r w:rsidRPr="00677E52">
        <w:rPr>
          <w:rFonts w:ascii="Arial Unicode MS" w:eastAsia="Arial Unicode MS" w:hAnsi="Arial Unicode MS" w:cs="Arial Unicode MS"/>
          <w:b/>
        </w:rPr>
        <w:t>Trusting</w:t>
      </w:r>
      <w:r w:rsidRPr="00E35538">
        <w:rPr>
          <w:rFonts w:ascii="Arial Unicode MS" w:eastAsia="Arial Unicode MS" w:hAnsi="Arial Unicode MS" w:cs="Arial Unicode MS"/>
          <w:b/>
        </w:rPr>
        <w:t xml:space="preserve"> Unassuming Signers</w:t>
      </w:r>
    </w:p>
    <w:p w14:paraId="0CC3ACE2" w14:textId="77777777" w:rsidR="00953D45" w:rsidRDefault="00953D45" w:rsidP="00953D45">
      <w:pPr>
        <w:pStyle w:val="ListParagraph"/>
        <w:numPr>
          <w:ilvl w:val="1"/>
          <w:numId w:val="10"/>
        </w:numPr>
      </w:pPr>
      <w:r>
        <w:t xml:space="preserve">Fraudulent signers are not reserved for a race, a gender, an age or a certain walk of life. </w:t>
      </w:r>
    </w:p>
    <w:p w14:paraId="49CC0748" w14:textId="47F0A1A0" w:rsidR="00953D45" w:rsidRDefault="00953D45" w:rsidP="00953D45">
      <w:pPr>
        <w:pStyle w:val="ListParagraph"/>
        <w:numPr>
          <w:ilvl w:val="1"/>
          <w:numId w:val="10"/>
        </w:numPr>
      </w:pPr>
      <w:r>
        <w:t>Usually are part of a larger network where they learn and teach.</w:t>
      </w:r>
    </w:p>
    <w:p w14:paraId="32595243" w14:textId="77777777" w:rsidR="006D5AB8" w:rsidRPr="00F1328F" w:rsidRDefault="006D5AB8" w:rsidP="006D5AB8">
      <w:pPr>
        <w:pStyle w:val="ListParagraph"/>
        <w:numPr>
          <w:ilvl w:val="1"/>
          <w:numId w:val="10"/>
        </w:numPr>
        <w:rPr>
          <w:rFonts w:ascii="Arial Unicode MS" w:eastAsia="Arial Unicode MS" w:hAnsi="Arial Unicode MS" w:cs="Arial Unicode MS"/>
          <w:bCs/>
          <w:i/>
          <w:iCs/>
          <w:color w:val="0070C0"/>
        </w:rPr>
      </w:pPr>
      <w:r w:rsidRPr="00F1328F">
        <w:rPr>
          <w:rFonts w:ascii="Arial Unicode MS" w:eastAsia="Arial Unicode MS" w:hAnsi="Arial Unicode MS" w:cs="Arial Unicode MS"/>
          <w:bCs/>
          <w:i/>
          <w:iCs/>
          <w:color w:val="0070C0"/>
        </w:rPr>
        <w:t>Best Practices</w:t>
      </w:r>
    </w:p>
    <w:p w14:paraId="27B5B1C7" w14:textId="1251278A" w:rsidR="006D5AB8" w:rsidRPr="00F1328F" w:rsidRDefault="006D5AB8" w:rsidP="006D5AB8">
      <w:pPr>
        <w:pStyle w:val="ListParagraph"/>
        <w:numPr>
          <w:ilvl w:val="2"/>
          <w:numId w:val="10"/>
        </w:numPr>
        <w:rPr>
          <w:color w:val="0070C0"/>
        </w:rPr>
      </w:pPr>
      <w:r w:rsidRPr="00F1328F">
        <w:rPr>
          <w:color w:val="0070C0"/>
        </w:rPr>
        <w:t xml:space="preserve">Following the same, </w:t>
      </w:r>
      <w:proofErr w:type="gramStart"/>
      <w:r w:rsidRPr="00F1328F">
        <w:rPr>
          <w:color w:val="0070C0"/>
        </w:rPr>
        <w:t>fact based</w:t>
      </w:r>
      <w:proofErr w:type="gramEnd"/>
      <w:r w:rsidRPr="00F1328F">
        <w:rPr>
          <w:color w:val="0070C0"/>
        </w:rPr>
        <w:t xml:space="preserve"> verification steps for everyone is beneficial. Avoid falling into that mindset and rather stay present with what red flags are being present regardless of who the signer is.</w:t>
      </w:r>
    </w:p>
    <w:p w14:paraId="260B54E4" w14:textId="77777777" w:rsidR="00D84305" w:rsidRPr="00D84305" w:rsidRDefault="00D84305" w:rsidP="00D84305">
      <w:pPr>
        <w:pStyle w:val="ListParagraph"/>
      </w:pPr>
      <w:bookmarkStart w:id="1" w:name="_Hlk129856599"/>
    </w:p>
    <w:p w14:paraId="368896D3" w14:textId="5B27EF11" w:rsidR="00677E52" w:rsidRPr="00F1328F" w:rsidRDefault="00677E52" w:rsidP="00677E52">
      <w:pPr>
        <w:pStyle w:val="ListParagraph"/>
        <w:numPr>
          <w:ilvl w:val="0"/>
          <w:numId w:val="10"/>
        </w:numPr>
        <w:rPr>
          <w:color w:val="000000" w:themeColor="text1"/>
        </w:rPr>
      </w:pPr>
      <w:r w:rsidRPr="00F1328F">
        <w:rPr>
          <w:rFonts w:ascii="Arial Unicode MS" w:eastAsia="Arial Unicode MS" w:hAnsi="Arial Unicode MS" w:cs="Arial Unicode MS"/>
          <w:b/>
          <w:color w:val="000000" w:themeColor="text1"/>
        </w:rPr>
        <w:t>Best Practices for using a consumer reporting vendor</w:t>
      </w:r>
      <w:r w:rsidR="00AA1886" w:rsidRPr="00F1328F">
        <w:rPr>
          <w:rFonts w:ascii="Arial Unicode MS" w:eastAsia="Arial Unicode MS" w:hAnsi="Arial Unicode MS" w:cs="Arial Unicode MS"/>
          <w:b/>
          <w:color w:val="000000" w:themeColor="text1"/>
        </w:rPr>
        <w:t xml:space="preserve"> (such as </w:t>
      </w:r>
      <w:proofErr w:type="spellStart"/>
      <w:r w:rsidR="00AA1886" w:rsidRPr="00F1328F">
        <w:rPr>
          <w:rFonts w:ascii="Arial Unicode MS" w:eastAsia="Arial Unicode MS" w:hAnsi="Arial Unicode MS" w:cs="Arial Unicode MS"/>
          <w:b/>
          <w:color w:val="000000" w:themeColor="text1"/>
        </w:rPr>
        <w:t>Mavsign</w:t>
      </w:r>
      <w:proofErr w:type="spellEnd"/>
      <w:r w:rsidR="00AA1886" w:rsidRPr="00F1328F">
        <w:rPr>
          <w:rFonts w:ascii="Arial Unicode MS" w:eastAsia="Arial Unicode MS" w:hAnsi="Arial Unicode MS" w:cs="Arial Unicode MS"/>
          <w:b/>
          <w:color w:val="000000" w:themeColor="text1"/>
        </w:rPr>
        <w:t>)</w:t>
      </w:r>
      <w:r w:rsidRPr="00F1328F">
        <w:rPr>
          <w:rFonts w:ascii="Arial Unicode MS" w:eastAsia="Arial Unicode MS" w:hAnsi="Arial Unicode MS" w:cs="Arial Unicode MS"/>
          <w:b/>
          <w:color w:val="000000" w:themeColor="text1"/>
        </w:rPr>
        <w:t>:</w:t>
      </w:r>
    </w:p>
    <w:bookmarkEnd w:id="1"/>
    <w:p w14:paraId="781C0930" w14:textId="5DF4A66A" w:rsidR="00677E52" w:rsidRPr="00F1328F" w:rsidRDefault="00AA1886" w:rsidP="00AA1886">
      <w:pPr>
        <w:pStyle w:val="ListParagraph"/>
        <w:numPr>
          <w:ilvl w:val="1"/>
          <w:numId w:val="10"/>
        </w:numPr>
        <w:rPr>
          <w:color w:val="000000" w:themeColor="text1"/>
        </w:rPr>
      </w:pPr>
      <w:r w:rsidRPr="00F1328F">
        <w:rPr>
          <w:color w:val="000000" w:themeColor="text1"/>
        </w:rPr>
        <w:t>I</w:t>
      </w:r>
      <w:r w:rsidRPr="00F1328F">
        <w:rPr>
          <w:color w:val="000000" w:themeColor="text1"/>
        </w:rPr>
        <w:t xml:space="preserve">n addition to using the </w:t>
      </w:r>
      <w:r w:rsidRPr="00F1328F">
        <w:rPr>
          <w:color w:val="000000" w:themeColor="text1"/>
        </w:rPr>
        <w:t>services provided by the vendor, the d</w:t>
      </w:r>
      <w:r w:rsidRPr="00F1328F">
        <w:rPr>
          <w:color w:val="000000" w:themeColor="text1"/>
        </w:rPr>
        <w:t>ealer is responsible for responding in accordance with its ITPP after it has identified and detected a red flag.</w:t>
      </w:r>
    </w:p>
    <w:p w14:paraId="776D8A5D" w14:textId="36748D11" w:rsidR="00953D45" w:rsidRPr="00F1328F" w:rsidRDefault="00953D45" w:rsidP="00AA1886">
      <w:pPr>
        <w:pStyle w:val="ListParagraph"/>
        <w:numPr>
          <w:ilvl w:val="2"/>
          <w:numId w:val="10"/>
        </w:numPr>
        <w:rPr>
          <w:color w:val="0070C0"/>
        </w:rPr>
      </w:pPr>
      <w:r w:rsidRPr="00F1328F">
        <w:rPr>
          <w:color w:val="0070C0"/>
        </w:rPr>
        <w:t xml:space="preserve">performing </w:t>
      </w:r>
      <w:r w:rsidR="00F1328F">
        <w:rPr>
          <w:color w:val="0070C0"/>
        </w:rPr>
        <w:t>your</w:t>
      </w:r>
      <w:r w:rsidRPr="00F1328F">
        <w:rPr>
          <w:color w:val="0070C0"/>
        </w:rPr>
        <w:t xml:space="preserve"> own fraud alert in a consumer report; </w:t>
      </w:r>
    </w:p>
    <w:p w14:paraId="0AD5112B" w14:textId="77777777" w:rsidR="00953D45" w:rsidRPr="00F1328F" w:rsidRDefault="00953D45" w:rsidP="00AA1886">
      <w:pPr>
        <w:pStyle w:val="ListParagraph"/>
        <w:numPr>
          <w:ilvl w:val="2"/>
          <w:numId w:val="10"/>
        </w:numPr>
        <w:rPr>
          <w:color w:val="0070C0"/>
        </w:rPr>
      </w:pPr>
      <w:r w:rsidRPr="00F1328F">
        <w:rPr>
          <w:color w:val="0070C0"/>
        </w:rPr>
        <w:t xml:space="preserve">taking notice of security freezes in a consumer report; </w:t>
      </w:r>
    </w:p>
    <w:p w14:paraId="47882D2D" w14:textId="77777777" w:rsidR="00953D45" w:rsidRPr="00F1328F" w:rsidRDefault="00953D45" w:rsidP="00AA1886">
      <w:pPr>
        <w:pStyle w:val="ListParagraph"/>
        <w:numPr>
          <w:ilvl w:val="2"/>
          <w:numId w:val="10"/>
        </w:numPr>
        <w:rPr>
          <w:color w:val="0070C0"/>
        </w:rPr>
      </w:pPr>
      <w:r w:rsidRPr="00F1328F">
        <w:rPr>
          <w:color w:val="0070C0"/>
        </w:rPr>
        <w:t xml:space="preserve">taking notice of address discrepancies in a consumer report; </w:t>
      </w:r>
    </w:p>
    <w:p w14:paraId="1E3A4362" w14:textId="77777777" w:rsidR="00953D45" w:rsidRPr="00F1328F" w:rsidRDefault="00953D45" w:rsidP="00AA1886">
      <w:pPr>
        <w:pStyle w:val="ListParagraph"/>
        <w:numPr>
          <w:ilvl w:val="2"/>
          <w:numId w:val="10"/>
        </w:numPr>
        <w:rPr>
          <w:color w:val="0070C0"/>
        </w:rPr>
      </w:pPr>
      <w:r w:rsidRPr="00F1328F">
        <w:rPr>
          <w:color w:val="0070C0"/>
        </w:rPr>
        <w:t xml:space="preserve">taking notice of unusual credit activity in a consumer report; </w:t>
      </w:r>
    </w:p>
    <w:p w14:paraId="40E1C353" w14:textId="77777777" w:rsidR="00953D45" w:rsidRPr="00F1328F" w:rsidRDefault="00953D45" w:rsidP="00AA1886">
      <w:pPr>
        <w:pStyle w:val="ListParagraph"/>
        <w:numPr>
          <w:ilvl w:val="2"/>
          <w:numId w:val="10"/>
        </w:numPr>
        <w:rPr>
          <w:color w:val="0070C0"/>
        </w:rPr>
      </w:pPr>
      <w:r w:rsidRPr="00F1328F">
        <w:rPr>
          <w:color w:val="0070C0"/>
        </w:rPr>
        <w:t xml:space="preserve">inspecting customer documents for alteration or forgery; </w:t>
      </w:r>
    </w:p>
    <w:p w14:paraId="513A8D62" w14:textId="77777777" w:rsidR="00953D45" w:rsidRPr="00F1328F" w:rsidRDefault="00953D45" w:rsidP="00AA1886">
      <w:pPr>
        <w:pStyle w:val="ListParagraph"/>
        <w:numPr>
          <w:ilvl w:val="2"/>
          <w:numId w:val="10"/>
        </w:numPr>
        <w:rPr>
          <w:color w:val="0070C0"/>
        </w:rPr>
      </w:pPr>
      <w:r w:rsidRPr="00F1328F">
        <w:rPr>
          <w:color w:val="0070C0"/>
        </w:rPr>
        <w:t xml:space="preserve">taking notice of customer’s inconsistent photographic or physical descriptions; </w:t>
      </w:r>
    </w:p>
    <w:p w14:paraId="3DFF20CD" w14:textId="77777777" w:rsidR="00953D45" w:rsidRPr="00F1328F" w:rsidRDefault="00953D45" w:rsidP="00AA1886">
      <w:pPr>
        <w:pStyle w:val="ListParagraph"/>
        <w:numPr>
          <w:ilvl w:val="2"/>
          <w:numId w:val="10"/>
        </w:numPr>
        <w:rPr>
          <w:color w:val="0070C0"/>
        </w:rPr>
      </w:pPr>
      <w:r w:rsidRPr="00F1328F">
        <w:rPr>
          <w:color w:val="0070C0"/>
        </w:rPr>
        <w:t xml:space="preserve">taking notice of inconsistent information provided by a customer against a consumer report; taking notice of inconsistent signatures on customer’s personally identifiable information; </w:t>
      </w:r>
    </w:p>
    <w:p w14:paraId="59BF9647" w14:textId="77777777" w:rsidR="00953D45" w:rsidRPr="00F1328F" w:rsidRDefault="00953D45" w:rsidP="00AA1886">
      <w:pPr>
        <w:pStyle w:val="ListParagraph"/>
        <w:numPr>
          <w:ilvl w:val="2"/>
          <w:numId w:val="10"/>
        </w:numPr>
        <w:rPr>
          <w:color w:val="0070C0"/>
        </w:rPr>
      </w:pPr>
      <w:r w:rsidRPr="00F1328F">
        <w:rPr>
          <w:color w:val="0070C0"/>
        </w:rPr>
        <w:t xml:space="preserve">taking notice of social security numbers that are inconsistent with a consumer report; </w:t>
      </w:r>
    </w:p>
    <w:p w14:paraId="421B8AE3" w14:textId="77777777" w:rsidR="00953D45" w:rsidRPr="00F1328F" w:rsidRDefault="00953D45" w:rsidP="00AA1886">
      <w:pPr>
        <w:pStyle w:val="ListParagraph"/>
        <w:numPr>
          <w:ilvl w:val="2"/>
          <w:numId w:val="10"/>
        </w:numPr>
        <w:rPr>
          <w:color w:val="0070C0"/>
        </w:rPr>
      </w:pPr>
      <w:r w:rsidRPr="00F1328F">
        <w:rPr>
          <w:color w:val="0070C0"/>
        </w:rPr>
        <w:t xml:space="preserve">taking notice of inconsistent social security number ranges with customer’s date of birth; </w:t>
      </w:r>
    </w:p>
    <w:p w14:paraId="2152907F" w14:textId="77777777" w:rsidR="00953D45" w:rsidRPr="00F1328F" w:rsidRDefault="00953D45" w:rsidP="00AA1886">
      <w:pPr>
        <w:pStyle w:val="ListParagraph"/>
        <w:numPr>
          <w:ilvl w:val="2"/>
          <w:numId w:val="10"/>
        </w:numPr>
        <w:rPr>
          <w:color w:val="0070C0"/>
        </w:rPr>
      </w:pPr>
      <w:r w:rsidRPr="00F1328F">
        <w:rPr>
          <w:color w:val="0070C0"/>
        </w:rPr>
        <w:t xml:space="preserve">taking notice of invalid phone numbers, emails, or addresses; </w:t>
      </w:r>
    </w:p>
    <w:p w14:paraId="39AD166A" w14:textId="1E5DF576" w:rsidR="00953D45" w:rsidRPr="00F1328F" w:rsidRDefault="00953D45" w:rsidP="00AA1886">
      <w:pPr>
        <w:pStyle w:val="ListParagraph"/>
        <w:numPr>
          <w:ilvl w:val="2"/>
          <w:numId w:val="10"/>
        </w:numPr>
        <w:rPr>
          <w:color w:val="0070C0"/>
        </w:rPr>
      </w:pPr>
      <w:r w:rsidRPr="00F1328F">
        <w:rPr>
          <w:color w:val="0070C0"/>
        </w:rPr>
        <w:t>taking notice of customer’s personal identifying information that is the same, or unusually similar to an existing customer’s personal identifying information</w:t>
      </w:r>
      <w:r w:rsidR="00AA1886" w:rsidRPr="00F1328F">
        <w:rPr>
          <w:color w:val="0070C0"/>
        </w:rPr>
        <w:t>.</w:t>
      </w:r>
    </w:p>
    <w:p w14:paraId="00000047" w14:textId="34B33A5B" w:rsidR="0082520C" w:rsidRDefault="00953D45">
      <w:r>
        <w:t xml:space="preserve"> </w:t>
      </w:r>
    </w:p>
    <w:sectPr w:rsidR="0082520C" w:rsidSect="00C53BF8">
      <w:footerReference w:type="default" r:id="rId7"/>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01BB0" w14:textId="77777777" w:rsidR="008422C4" w:rsidRDefault="008422C4" w:rsidP="00D17EA8">
      <w:pPr>
        <w:spacing w:line="240" w:lineRule="auto"/>
      </w:pPr>
      <w:r>
        <w:separator/>
      </w:r>
    </w:p>
  </w:endnote>
  <w:endnote w:type="continuationSeparator" w:id="0">
    <w:p w14:paraId="48145C34" w14:textId="77777777" w:rsidR="008422C4" w:rsidRDefault="008422C4" w:rsidP="00D17E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432C" w14:textId="5C56E33C" w:rsidR="00D17EA8" w:rsidRDefault="00D17EA8">
    <w:pPr>
      <w:pStyle w:val="Footer"/>
    </w:pPr>
    <w:r>
      <w:rPr>
        <w:noProof/>
      </w:rPr>
      <w:drawing>
        <wp:inline distT="0" distB="0" distL="0" distR="0" wp14:anchorId="013BCECF" wp14:editId="54BF8528">
          <wp:extent cx="1204714"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63" cy="261474"/>
                  </a:xfrm>
                  <a:prstGeom prst="rect">
                    <a:avLst/>
                  </a:prstGeom>
                  <a:noFill/>
                  <a:ln>
                    <a:noFill/>
                  </a:ln>
                </pic:spPr>
              </pic:pic>
            </a:graphicData>
          </a:graphic>
        </wp:inline>
      </w:drawing>
    </w:r>
  </w:p>
  <w:p w14:paraId="025A790F" w14:textId="77777777" w:rsidR="00D17EA8" w:rsidRDefault="00D17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9CFD7" w14:textId="77777777" w:rsidR="008422C4" w:rsidRDefault="008422C4" w:rsidP="00D17EA8">
      <w:pPr>
        <w:spacing w:line="240" w:lineRule="auto"/>
      </w:pPr>
      <w:r>
        <w:separator/>
      </w:r>
    </w:p>
  </w:footnote>
  <w:footnote w:type="continuationSeparator" w:id="0">
    <w:p w14:paraId="76A3E7C2" w14:textId="77777777" w:rsidR="008422C4" w:rsidRDefault="008422C4" w:rsidP="00D17E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5E8"/>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03A6FB4"/>
    <w:multiLevelType w:val="hybridMultilevel"/>
    <w:tmpl w:val="31CEF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21129"/>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341C5628"/>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5F81F73"/>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41021F43"/>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4216093A"/>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62F11471"/>
    <w:multiLevelType w:val="hybridMultilevel"/>
    <w:tmpl w:val="A8F8C2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5C6251"/>
    <w:multiLevelType w:val="hybridMultilevel"/>
    <w:tmpl w:val="5F6AE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654707"/>
    <w:multiLevelType w:val="multilevel"/>
    <w:tmpl w:val="FDA8C2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244878378">
    <w:abstractNumId w:val="3"/>
  </w:num>
  <w:num w:numId="2" w16cid:durableId="58287159">
    <w:abstractNumId w:val="2"/>
  </w:num>
  <w:num w:numId="3" w16cid:durableId="1750154590">
    <w:abstractNumId w:val="6"/>
  </w:num>
  <w:num w:numId="4" w16cid:durableId="1532106983">
    <w:abstractNumId w:val="5"/>
  </w:num>
  <w:num w:numId="5" w16cid:durableId="1545872755">
    <w:abstractNumId w:val="0"/>
  </w:num>
  <w:num w:numId="6" w16cid:durableId="275213036">
    <w:abstractNumId w:val="4"/>
  </w:num>
  <w:num w:numId="7" w16cid:durableId="1401177181">
    <w:abstractNumId w:val="9"/>
  </w:num>
  <w:num w:numId="8" w16cid:durableId="789015948">
    <w:abstractNumId w:val="8"/>
  </w:num>
  <w:num w:numId="9" w16cid:durableId="1973166123">
    <w:abstractNumId w:val="1"/>
  </w:num>
  <w:num w:numId="10" w16cid:durableId="12187362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20C"/>
    <w:rsid w:val="00051E36"/>
    <w:rsid w:val="000E255A"/>
    <w:rsid w:val="001A1178"/>
    <w:rsid w:val="00677E52"/>
    <w:rsid w:val="006D5AB8"/>
    <w:rsid w:val="00712528"/>
    <w:rsid w:val="0082520C"/>
    <w:rsid w:val="008422C4"/>
    <w:rsid w:val="00953D45"/>
    <w:rsid w:val="00AA1886"/>
    <w:rsid w:val="00AA2A8A"/>
    <w:rsid w:val="00C53BF8"/>
    <w:rsid w:val="00D17EA8"/>
    <w:rsid w:val="00D84305"/>
    <w:rsid w:val="00F13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6BAA6"/>
  <w15:docId w15:val="{DA3D73D6-9E18-4F20-A95D-AAE60F44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953D45"/>
    <w:pPr>
      <w:ind w:left="720"/>
      <w:contextualSpacing/>
    </w:pPr>
  </w:style>
  <w:style w:type="paragraph" w:styleId="Header">
    <w:name w:val="header"/>
    <w:basedOn w:val="Normal"/>
    <w:link w:val="HeaderChar"/>
    <w:uiPriority w:val="99"/>
    <w:unhideWhenUsed/>
    <w:rsid w:val="00D17EA8"/>
    <w:pPr>
      <w:tabs>
        <w:tab w:val="center" w:pos="4680"/>
        <w:tab w:val="right" w:pos="9360"/>
      </w:tabs>
      <w:spacing w:line="240" w:lineRule="auto"/>
    </w:pPr>
  </w:style>
  <w:style w:type="character" w:customStyle="1" w:styleId="HeaderChar">
    <w:name w:val="Header Char"/>
    <w:basedOn w:val="DefaultParagraphFont"/>
    <w:link w:val="Header"/>
    <w:uiPriority w:val="99"/>
    <w:rsid w:val="00D17EA8"/>
  </w:style>
  <w:style w:type="paragraph" w:styleId="Footer">
    <w:name w:val="footer"/>
    <w:basedOn w:val="Normal"/>
    <w:link w:val="FooterChar"/>
    <w:uiPriority w:val="99"/>
    <w:unhideWhenUsed/>
    <w:rsid w:val="00D17EA8"/>
    <w:pPr>
      <w:tabs>
        <w:tab w:val="center" w:pos="4680"/>
        <w:tab w:val="right" w:pos="9360"/>
      </w:tabs>
      <w:spacing w:line="240" w:lineRule="auto"/>
    </w:pPr>
  </w:style>
  <w:style w:type="character" w:customStyle="1" w:styleId="FooterChar">
    <w:name w:val="Footer Char"/>
    <w:basedOn w:val="DefaultParagraphFont"/>
    <w:link w:val="Footer"/>
    <w:uiPriority w:val="99"/>
    <w:rsid w:val="00D17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764</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Spring</cp:lastModifiedBy>
  <cp:revision>7</cp:revision>
  <dcterms:created xsi:type="dcterms:W3CDTF">2023-03-16T05:19:00Z</dcterms:created>
  <dcterms:modified xsi:type="dcterms:W3CDTF">2023-03-16T18:15:00Z</dcterms:modified>
</cp:coreProperties>
</file>